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SPF/2021/VSPL/U10/P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. SPF/2021/VSPL/U10/P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lenie nomin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reprezenta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ho t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mu seniorov a juniorov a v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 xml:space="preserve">ber EYOF plavcov v X-Bionic Sphere v </w:t>
      </w:r>
      <w:r>
        <w:rPr>
          <w:rFonts w:ascii="Sylfaen" w:cs="Sylfaen" w:hAnsi="Sylfaen" w:eastAsia="Sylfaen"/>
          <w:rtl w:val="0"/>
        </w:rPr>
        <w:t>Š</w:t>
      </w:r>
      <w:r>
        <w:rPr>
          <w:rFonts w:ascii="Sylfaen" w:cs="Sylfaen" w:hAnsi="Sylfaen" w:eastAsia="Sylfaen"/>
          <w:rtl w:val="0"/>
          <w:lang w:val="it-IT"/>
        </w:rPr>
        <w:t>amor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ne v term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ne od 22.2. - 07.3.2021.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vrh nominovan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mu bol vypracovan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na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klade 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dru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stiev v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pre RTC 2021 v kateg</w:t>
      </w:r>
      <w:r>
        <w:rPr>
          <w:rFonts w:ascii="Sylfaen" w:cs="Sylfaen" w:hAnsi="Sylfaen" w:eastAsia="Sylfaen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rii senior a junior,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ber plavcov EYOF, ktor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 roku 2021 neboli zaraden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do 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dru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stva juniorov. 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schva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uje preplatenie 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kladov spojen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s ubytovan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, stravou a 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kladmi na pren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jom baz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na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astnen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 reprezentantom v danom term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ne.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Nominovan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reprezentanti maj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povinn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 úč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na pretekoch VCS 2021 pod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 aktu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lneho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nu pr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ce RTC 2021 pre jednotliv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dru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stv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, matersk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klub za nich bude posiela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prihl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ku.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Na online stretnut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sa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lenovia VSPL zaoberali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ou tr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nerov a zlo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 realiza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ho 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mu. VSPL vytvor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realiza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 pod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ujmu jednotliv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osobn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ch tr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nerov reprezentantov na danom 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nom s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streden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Cie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om tohto 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beru bude vytvorenie kvalitn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ch tr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ningov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skup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 zameran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na plaveck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discipl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ny jednotliv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ch reprezentantov.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Nominovan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reprezenta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neri v pr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pade z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ujmu niektor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plavcov z vlastn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ch klubov bud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nova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svojich zverencov po dohode s ved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cim akcie. V pr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pade ak by boli skupiny reprezentantov pr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li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, plavci s klubov bud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musie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akceptova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ť č</w:t>
      </w:r>
      <w:r>
        <w:rPr>
          <w:rFonts w:ascii="Sylfaen" w:cs="Sylfaen" w:hAnsi="Sylfaen" w:eastAsia="Sylfaen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asy tr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ningu mimo reprezent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cie.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VSPL navrhuje v 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mci regener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cie prenaja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regenera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nohavice zna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ky Reboots v sade 3 p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rov na obdobie od 18.2. - 7.3.2021 v hodnote 1 150 eur.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  <w:tab/>
        <w:t>Zoznam EYOF plavcov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reprezenta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dru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stvo juniorov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reprezenta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dru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stvo seniorov</w:t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  <w:tab/>
        <w:tab/>
        <w:tab/>
        <w:tab/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</w:p>
    <w:tbl>
      <w:tblPr>
        <w:tblW w:w="96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27"/>
      </w:tblGrid>
      <w:tr>
        <w:tblPrEx>
          <w:shd w:val="clear" w:color="auto" w:fill="cadfff"/>
        </w:tblPrEx>
        <w:trPr>
          <w:trHeight w:val="14412" w:hRule="atLeast"/>
        </w:trPr>
        <w:tc>
          <w:tcPr>
            <w:tcW w:type="dxa" w:w="962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uje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ť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reprezenta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mu seniorov a juniorov a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beru EYOF v X-Bionic Sphere v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amor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v 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od 22.2. - 07.3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en-US"/>
              </w:rPr>
              <w:t>. 2021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Nominovan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reprezentanti: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Seniori: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Klobu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 xml:space="preserve">k, Nagy Richard,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Trn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Nikoleta,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ladim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r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tef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a-DK"/>
              </w:rPr>
              <w:t>nik, Adam Halas, Emma Maru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Sab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 Kup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Nina Vadovi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Martina Cibulkov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Zuzana Pavlikovsk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Zora Ripkov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, 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Peciar, Kaln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k Luk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áš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,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borsk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Miroslava, Ku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ší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k Alex, Potock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Tamara, Koka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ubor, Michali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, Miku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Barbora, Reindl Robin.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Juniori: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es-ES_tradnl"/>
              </w:rPr>
              <w:t>Guman Eduard, Jabl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 Franti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ek, 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nyi Filip, Dani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Matej, Kudla Patrik, Siklenka Andrej, Antal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 Matej, Dik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cz Bence, Fol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an Patrik, Kreta Jakub, Kunic Luk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Polia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ik Jakub, Tomtko Marek, Sabo Juraj, Bohman Patrik, Obert Kristi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n, Pol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č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Radoslav, Such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nsky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imon Peter, Vonyik Andrej, Ko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ec Samuel, G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lik Kriszti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n, Coddignton Mark, Ko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šťá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 Samuel, Kubica Martin, Luksaj Dominik, Martinovi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č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Matej, P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ek Richard, Van Wyk Daniel,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Juniorky: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Hodo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ň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Nina, Kmo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enov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Lea, 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czov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Timea, Mi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Jana, Jan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Bronislava, Majdov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 Šá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rka, Fiedorov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Mark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ta, Galbav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Aneta, Slu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Lillian,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prl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-Zmorov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via Ana, Langeov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e-DE"/>
              </w:rPr>
              <w:t>Lenka, Beh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Veronika, Ros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palov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Tamara, Grucha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Laura, Hrn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Alexandra, Chromiakov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Lea, Mi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thlov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Daniela, 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valdov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es-ES_tradnl"/>
              </w:rPr>
              <w:t>Tereza, 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a-DK"/>
              </w:rPr>
              <w:t>Nata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a, Kraj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ňá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Krist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e-DE"/>
              </w:rPr>
              <w:t>na, Gro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ajov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Lea, Horv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en-US"/>
              </w:rPr>
              <w:t>thov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Ter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zia, Lopatkov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Katar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na, Sutden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Daniela, Sz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szov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Miriama.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EYOF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  <w:rtl w:val="0"/>
                <w:lang w:val="da-DK"/>
              </w:rPr>
              <w:t>ber: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u w:val="single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ňá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Nadine, Jamborkov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Nikol, Vetr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Katar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na, Omerovi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Selma, Lackov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lia, Mikul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 xml:space="preserve">Ema,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nikov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Sabina, Palkovi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č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Jakub,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apu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 Patrik, Janovjak Nicolas, Ad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mek Luk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, Godarsk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 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imon.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neri nominovan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reprezentantov, ktor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e-DE"/>
              </w:rPr>
              <w:t>ch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klady na ubytovanie a stravu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ú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 plnej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ke hraden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rozpo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SPF 2020 z kapitoly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Vladim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r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elezn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 (ved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 akcie)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Matej Kuch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Gerald Svoboda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Pavol Sirotn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ř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a-DK"/>
              </w:rPr>
              <w:t>i Ad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mek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Milo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ik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a-DK"/>
              </w:rPr>
              <w:t>Karol P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szer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Darina Moravcov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Tom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Milada Le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ščá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Michal Knih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pt-PT"/>
              </w:rPr>
              <w:t>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Karel Proch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zka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e-DE"/>
              </w:rPr>
              <w:t>n Blan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 ( fyzioterapeut/kondi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ner)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ta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olt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sov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(fyzioterapeut/kondi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ner)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Zraz jednotliv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reprezentantov bude na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klade nomina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listu.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VSPL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 pren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jom regenera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nohav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 Reboots v 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18.2. - 7.3.2021 v hodnote 1 150 eur.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Akcia je hraden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rozpo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SPF 2021 z kapitoly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bez finan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nej spolu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asti plavcov a 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mu.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loha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uznesenia: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</w:rPr>
            </w:pP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ý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bor sekcie pl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vania uklad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á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p. Bielikovi predlo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ž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i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ť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dan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ý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vrh na Radu SPF na schv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lenie.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sz w:val="24"/>
                <w:szCs w:val="24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16" w:hanging="216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08" w:hanging="108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kern w:val="1"/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22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.02.2021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