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29795225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 17.5.2021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B2F5C" w14:textId="0BD4ADB9" w:rsidR="00AC75B1" w:rsidRDefault="00FE08DF" w:rsidP="00AC75B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ŠTK predkladá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 návrh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termín</w:t>
      </w:r>
      <w:r w:rsidR="00AC75B1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dohrávok SR 2020-2021</w:t>
      </w:r>
      <w:r w:rsidR="00AC75B1">
        <w:rPr>
          <w:rFonts w:ascii="Times New Roman" w:hAnsi="Times New Roman" w:cs="Times New Roman"/>
          <w:sz w:val="24"/>
          <w:szCs w:val="24"/>
        </w:rPr>
        <w:t xml:space="preserve"> prípraviek</w:t>
      </w:r>
      <w:r>
        <w:rPr>
          <w:rFonts w:ascii="Times New Roman" w:hAnsi="Times New Roman" w:cs="Times New Roman"/>
          <w:sz w:val="24"/>
          <w:szCs w:val="24"/>
        </w:rPr>
        <w:t xml:space="preserve"> z dôvodov pandémie Covid. Na základe rozhodnutia VV MFZ rozhodcovia a DZ vedú jednotlivé stretnutia na náklady MFZ.</w:t>
      </w:r>
    </w:p>
    <w:p w14:paraId="0CBA837A" w14:textId="77777777" w:rsidR="00C8390E" w:rsidRPr="00C8390E" w:rsidRDefault="00AC75B1" w:rsidP="00AC75B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VV MFZ rozhodol, </w:t>
      </w:r>
      <w:r w:rsidRPr="00AC75B1">
        <w:rPr>
          <w:rFonts w:ascii="Times New Roman" w:hAnsi="Times New Roman" w:cs="Times New Roman"/>
          <w:sz w:val="24"/>
          <w:szCs w:val="24"/>
        </w:rPr>
        <w:t>že odohrávanie stretnutí prípraviek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dobrovoľné, pričom sa odporúča dodržať plánované termíny a kola. Konanie stretnutia je potrebné uviesť do systému ISSF.</w:t>
      </w:r>
    </w:p>
    <w:p w14:paraId="79B88F5B" w14:textId="35C48453" w:rsidR="00840F06" w:rsidRDefault="00C8390E" w:rsidP="00AC75B1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dôvodu kolízie </w:t>
      </w:r>
      <w:r>
        <w:rPr>
          <w:rFonts w:ascii="Times New Roman" w:hAnsi="Times New Roman" w:cs="Times New Roman"/>
          <w:sz w:val="24"/>
          <w:szCs w:val="24"/>
        </w:rPr>
        <w:t>organizovania stretnutí o Pohár predsedu ObFZ Košice okolie</w:t>
      </w:r>
      <w:r w:rsidR="00FE08DF" w:rsidRPr="00AC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90E">
        <w:rPr>
          <w:rFonts w:ascii="Times New Roman" w:hAnsi="Times New Roman" w:cs="Times New Roman"/>
          <w:sz w:val="24"/>
          <w:szCs w:val="24"/>
        </w:rPr>
        <w:t>v dňoch 29. a 30.5.2021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VV rozhodol o zrušení odohratia 11.kola. Zároveň 8., 9. a 10. kolo dospelých nariaďuje odohrať v uvedených termínoch.</w:t>
      </w:r>
    </w:p>
    <w:p w14:paraId="411CB56E" w14:textId="75401B35" w:rsidR="00CF264C" w:rsidRDefault="00840F06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1134"/>
        <w:gridCol w:w="709"/>
        <w:gridCol w:w="1275"/>
        <w:gridCol w:w="567"/>
        <w:gridCol w:w="1134"/>
        <w:gridCol w:w="567"/>
        <w:gridCol w:w="1134"/>
      </w:tblGrid>
      <w:tr w:rsidR="00CF264C" w14:paraId="571B39EB" w14:textId="77777777" w:rsidTr="003B0E61"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A53D" w14:textId="783285AF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dospelí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B0B19" w14:textId="626B1FBA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U10+U11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5942E" w14:textId="1F8D0DA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50E0" w14:textId="08F1AEE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562A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5E91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64C" w14:paraId="15BE4359" w14:textId="77777777" w:rsidTr="003B0E61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9D92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D169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7B19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58DF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3B336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F1C3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9947C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24F9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3EEC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B440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</w:tr>
      <w:tr w:rsidR="003B0E61" w14:paraId="05AF713A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3F21856E" w14:textId="767DCDC3" w:rsidR="003B0E61" w:rsidRPr="003B0E61" w:rsidRDefault="00C8390E" w:rsidP="003B0E61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</w:t>
            </w:r>
          </w:p>
        </w:tc>
        <w:tc>
          <w:tcPr>
            <w:tcW w:w="1134" w:type="dxa"/>
          </w:tcPr>
          <w:p w14:paraId="0408B305" w14:textId="7ED1DC13" w:rsidR="003B0E61" w:rsidRPr="003B0E61" w:rsidRDefault="00C8390E" w:rsidP="003B0E61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Pohár ObFZ KE okol.</w:t>
            </w:r>
          </w:p>
        </w:tc>
        <w:tc>
          <w:tcPr>
            <w:tcW w:w="709" w:type="dxa"/>
          </w:tcPr>
          <w:p w14:paraId="5CC86E87" w14:textId="1288761F" w:rsidR="003B0E61" w:rsidRPr="003B0E61" w:rsidRDefault="003B0E61" w:rsidP="003B0E61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045153A" w14:textId="3D8E1D4D" w:rsidR="003B0E61" w:rsidRPr="00547355" w:rsidRDefault="00FF7DF8" w:rsidP="003B0E61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1D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47355" w:rsidRPr="0054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54BFFED" w14:textId="517A9944" w:rsidR="003B0E61" w:rsidRDefault="00493295" w:rsidP="004932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FA6073C" w14:textId="40DE9DB4" w:rsidR="003B0E61" w:rsidRDefault="00FF7DF8" w:rsidP="004932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DA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" w:type="dxa"/>
          </w:tcPr>
          <w:p w14:paraId="6F703DFE" w14:textId="63292994" w:rsidR="003B0E61" w:rsidRDefault="009336AB" w:rsidP="009336AB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073821" w14:textId="02939290" w:rsidR="003B0E61" w:rsidRDefault="00FF7DF8" w:rsidP="003B0E6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36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" w:type="dxa"/>
          </w:tcPr>
          <w:p w14:paraId="70011164" w14:textId="586F2B3B" w:rsidR="003B0E61" w:rsidRPr="000967E5" w:rsidRDefault="003B0E61" w:rsidP="003B0E6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4052D80" w14:textId="2D3153F8" w:rsidR="003B0E61" w:rsidRPr="000967E5" w:rsidRDefault="003B0E61" w:rsidP="003B0E6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390E" w14:paraId="0D4A0746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36977CF0" w14:textId="1E052469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CA0C5DF" w14:textId="0ABA3C24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09" w:type="dxa"/>
          </w:tcPr>
          <w:p w14:paraId="6ED3EF2D" w14:textId="1828328B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38B723B" w14:textId="2E1402EE" w:rsidR="00C8390E" w:rsidRPr="0054735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  <w:r w:rsidRPr="0054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7AA1608" w14:textId="6756AD07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431BE728" w14:textId="592C3963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567" w:type="dxa"/>
          </w:tcPr>
          <w:p w14:paraId="207FB07E" w14:textId="3D2CFA18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DA285C6" w14:textId="0FCC848E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</w:t>
            </w:r>
          </w:p>
        </w:tc>
        <w:tc>
          <w:tcPr>
            <w:tcW w:w="567" w:type="dxa"/>
          </w:tcPr>
          <w:p w14:paraId="3EF2D904" w14:textId="443A5D17" w:rsidR="00C8390E" w:rsidRPr="000967E5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57C515D" w14:textId="3BDA63FB" w:rsidR="00C8390E" w:rsidRPr="000967E5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390E" w14:paraId="5A76BDC2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C05BB87" w14:textId="69119D3A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2F8259A" w14:textId="60F2CE39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09" w:type="dxa"/>
          </w:tcPr>
          <w:p w14:paraId="74C74CA6" w14:textId="5927C99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D475FE" w14:textId="276958A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09" w:type="dxa"/>
          </w:tcPr>
          <w:p w14:paraId="1DBF4427" w14:textId="0338D1E5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DA64C75" w14:textId="166E52D7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7FCFF87F" w14:textId="018347B5" w:rsidR="00C8390E" w:rsidRPr="00B71780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7D11BA" w14:textId="4348A3E2" w:rsidR="00C8390E" w:rsidRPr="00B71780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1DF480" w14:textId="653FE24B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5398382" w14:textId="0E120B1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39040DFA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185AA9C6" w14:textId="2AEBF53B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92FD2CA" w14:textId="1BBAF77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09" w:type="dxa"/>
          </w:tcPr>
          <w:p w14:paraId="6AB6829F" w14:textId="666CE664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6BDF589" w14:textId="12385139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9" w:type="dxa"/>
          </w:tcPr>
          <w:p w14:paraId="7081788F" w14:textId="5CBC55D0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1FB0674" w14:textId="081423D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67" w:type="dxa"/>
          </w:tcPr>
          <w:p w14:paraId="06335767" w14:textId="2462AE31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ACB3ED" w14:textId="233B8C52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67" w:type="dxa"/>
          </w:tcPr>
          <w:p w14:paraId="4E7F7D10" w14:textId="500E6A3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BEDB34B" w14:textId="5ED943E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2B610EC9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B98FF77" w14:textId="6A12F03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D7BA7" w14:textId="549EC5B1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DA696" w14:textId="79B7D92E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C9811" w14:textId="4F7FED1A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29A45" w14:textId="4F782713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51797" w14:textId="438B3B8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6E37B" w14:textId="6AA7D45F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1C789" w14:textId="1590AF7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0DB84" w14:textId="17B903ED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F21D75" w14:textId="540D27B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0009CA92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45810378" w14:textId="0D4A7F74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EF341" w14:textId="7397454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6C43B" w14:textId="4AAA27F7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2C714" w14:textId="05668FE0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C1FB9" w14:textId="29282D82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9C90B" w14:textId="2F81FF34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2A26E" w14:textId="189F3A08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E447B" w14:textId="1D13B8A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5F974" w14:textId="1BB227E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D1F97A8" w14:textId="2FD86547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CC2C4" w14:textId="3EC47E54" w:rsidR="00CF264C" w:rsidRDefault="00CF264C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2F38AE" w14:textId="18ED7E82" w:rsidR="009336AB" w:rsidRPr="00397573" w:rsidRDefault="009336AB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97573">
        <w:rPr>
          <w:rFonts w:ascii="Times New Roman" w:hAnsi="Times New Roman" w:cs="Times New Roman"/>
          <w:b/>
          <w:bCs/>
          <w:sz w:val="24"/>
          <w:szCs w:val="24"/>
        </w:rPr>
        <w:t>Dohrávky:</w:t>
      </w:r>
    </w:p>
    <w:p w14:paraId="04D451DC" w14:textId="72F1D711" w:rsidR="00815F7B" w:rsidRPr="00547355" w:rsidRDefault="003B0E61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Dospelí:</w:t>
      </w:r>
    </w:p>
    <w:p w14:paraId="3A68004E" w14:textId="7A5BCF36" w:rsidR="00815F7B" w:rsidRDefault="00815F7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 Kavečany – Sokoľ dohrávka</w:t>
      </w:r>
      <w:r w:rsidR="008961BD">
        <w:rPr>
          <w:rFonts w:ascii="Times New Roman" w:hAnsi="Times New Roman" w:cs="Times New Roman"/>
          <w:sz w:val="24"/>
          <w:szCs w:val="24"/>
        </w:rPr>
        <w:t xml:space="preserve"> 23.5.2021 o 17,00 hod.</w:t>
      </w:r>
    </w:p>
    <w:p w14:paraId="655DD4C9" w14:textId="176AA0B1" w:rsidR="00815F7B" w:rsidRDefault="00815F7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Šaca – Geča B dohrávka</w:t>
      </w:r>
      <w:r w:rsidR="008961BD">
        <w:rPr>
          <w:rFonts w:ascii="Times New Roman" w:hAnsi="Times New Roman" w:cs="Times New Roman"/>
          <w:sz w:val="24"/>
          <w:szCs w:val="24"/>
        </w:rPr>
        <w:t xml:space="preserve">  23.5.2021 o 17,00 hod.</w:t>
      </w:r>
    </w:p>
    <w:p w14:paraId="73C6FEBD" w14:textId="1C58DA29" w:rsidR="003B0E61" w:rsidRDefault="00FE08D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E08DF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17B61EFA" w14:textId="64C4E33F" w:rsidR="00FE08DF" w:rsidRPr="00FE08DF" w:rsidRDefault="00FE08D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08DF">
        <w:rPr>
          <w:rFonts w:ascii="Times New Roman" w:hAnsi="Times New Roman" w:cs="Times New Roman"/>
          <w:sz w:val="24"/>
          <w:szCs w:val="24"/>
        </w:rPr>
        <w:t xml:space="preserve">Kluby </w:t>
      </w:r>
      <w:r w:rsidR="00AE7673">
        <w:rPr>
          <w:rFonts w:ascii="Times New Roman" w:hAnsi="Times New Roman" w:cs="Times New Roman"/>
          <w:sz w:val="24"/>
          <w:szCs w:val="24"/>
        </w:rPr>
        <w:t>prosíme a žiadame</w:t>
      </w:r>
      <w:r w:rsidRPr="00FE0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odohrať stretnutia dohrávok v čo najväčšom počte, pretože niektoré stretnutia boli neodohrané zo zanedbania </w:t>
      </w:r>
      <w:r w:rsidR="00EE1686">
        <w:rPr>
          <w:rFonts w:ascii="Times New Roman" w:hAnsi="Times New Roman" w:cs="Times New Roman"/>
          <w:sz w:val="24"/>
          <w:szCs w:val="24"/>
        </w:rPr>
        <w:t>povinnosti. Máme za to, že keď klub prihlási nejaké družstvo do súťaže, má záujem odohrať všetky plánované stretnutia.</w:t>
      </w:r>
      <w:r>
        <w:rPr>
          <w:rFonts w:ascii="Times New Roman" w:hAnsi="Times New Roman" w:cs="Times New Roman"/>
          <w:sz w:val="24"/>
          <w:szCs w:val="24"/>
        </w:rPr>
        <w:t xml:space="preserve"> Dohrávky sú záležitosťou klubov a ich vzájomnej dohody</w:t>
      </w:r>
      <w:r w:rsidR="0076069E">
        <w:rPr>
          <w:rFonts w:ascii="Times New Roman" w:hAnsi="Times New Roman" w:cs="Times New Roman"/>
          <w:sz w:val="24"/>
          <w:szCs w:val="24"/>
        </w:rPr>
        <w:t xml:space="preserve"> na termíne</w:t>
      </w:r>
      <w:r w:rsidR="00EE1686">
        <w:rPr>
          <w:rFonts w:ascii="Times New Roman" w:hAnsi="Times New Roman" w:cs="Times New Roman"/>
          <w:sz w:val="24"/>
          <w:szCs w:val="24"/>
        </w:rPr>
        <w:t xml:space="preserve">. Preto žiadame všetkých, ktorí si naplánujú odohratie stretnutia, aby nahlásili jeho termín konania v systéme ISSF tak, aby sme stihli zaznamenať zmenu.  </w:t>
      </w:r>
    </w:p>
    <w:p w14:paraId="231CA0FD" w14:textId="77777777" w:rsidR="00FE08DF" w:rsidRDefault="00FE08D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FA34CD" w14:textId="5BE7D9E7" w:rsidR="00493295" w:rsidRPr="00547355" w:rsidRDefault="003B0E61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U10+U11</w:t>
      </w:r>
      <w:r w:rsidR="00547355" w:rsidRPr="00547355">
        <w:rPr>
          <w:rFonts w:ascii="Times New Roman" w:hAnsi="Times New Roman" w:cs="Times New Roman"/>
          <w:b/>
          <w:bCs/>
          <w:sz w:val="24"/>
          <w:szCs w:val="24"/>
        </w:rPr>
        <w:t xml:space="preserve"> sk.A</w:t>
      </w:r>
      <w:r w:rsidRPr="005473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 w:rsidRPr="00547355">
        <w:rPr>
          <w:rFonts w:ascii="Times New Roman" w:hAnsi="Times New Roman" w:cs="Times New Roman"/>
          <w:b/>
          <w:bCs/>
          <w:sz w:val="24"/>
          <w:szCs w:val="24"/>
        </w:rPr>
        <w:t>U10+U11 sk.B:</w:t>
      </w:r>
    </w:p>
    <w:p w14:paraId="61B7ABB9" w14:textId="46544737" w:rsidR="00493295" w:rsidRDefault="003B0E61" w:rsidP="004932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Kac KE – Sokoľ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5926D0">
        <w:rPr>
          <w:rFonts w:ascii="Times New Roman" w:hAnsi="Times New Roman" w:cs="Times New Roman"/>
          <w:sz w:val="24"/>
          <w:szCs w:val="24"/>
        </w:rPr>
        <w:t>25.5.2021 o 16,00 hod.</w:t>
      </w:r>
      <w:r w:rsidR="00493295">
        <w:rPr>
          <w:rFonts w:ascii="Times New Roman" w:hAnsi="Times New Roman" w:cs="Times New Roman"/>
          <w:sz w:val="24"/>
          <w:szCs w:val="24"/>
        </w:rPr>
        <w:tab/>
        <w:t>5.k Junior Šaca – Malá Ida</w:t>
      </w:r>
    </w:p>
    <w:p w14:paraId="3103FD50" w14:textId="08DA3BA2" w:rsidR="003B0E61" w:rsidRDefault="003B0E6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 Junior KE – Koš. Nová Ves</w:t>
      </w:r>
    </w:p>
    <w:p w14:paraId="29BC9E4E" w14:textId="4411F08D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042383" w14:textId="3046548B" w:rsidR="00493295" w:rsidRPr="00493295" w:rsidRDefault="00547355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U09 sk.A: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>U09 sk.B</w:t>
      </w:r>
    </w:p>
    <w:p w14:paraId="29574BCE" w14:textId="42AD4546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Junior KE – Pyramída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Galaktik C - Pyramída</w:t>
      </w:r>
    </w:p>
    <w:p w14:paraId="1B09200D" w14:textId="092285AF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KAC KE </w:t>
      </w:r>
      <w:r w:rsidR="00493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Junior Šaca – KAC Košice</w:t>
      </w:r>
    </w:p>
    <w:p w14:paraId="3C55AE51" w14:textId="6A4DE0D0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Čaňa –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2.k Pyramída – KAC Košice</w:t>
      </w:r>
    </w:p>
    <w:p w14:paraId="4FD58F50" w14:textId="214254F9" w:rsidR="00547355" w:rsidRDefault="0049329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47355">
        <w:rPr>
          <w:rFonts w:ascii="Times New Roman" w:hAnsi="Times New Roman" w:cs="Times New Roman"/>
          <w:sz w:val="24"/>
          <w:szCs w:val="24"/>
        </w:rPr>
        <w:t>Pyramída – KAC Košice</w:t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  <w:t>3.k KAC Košice - Moldava</w:t>
      </w:r>
    </w:p>
    <w:p w14:paraId="151574D2" w14:textId="4927F9C8" w:rsidR="0049329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4.k Galaktik C – KAC Košice</w:t>
      </w:r>
    </w:p>
    <w:p w14:paraId="1DA658F5" w14:textId="17FC43AD" w:rsidR="009336AB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4.k Pyramída </w:t>
      </w:r>
      <w:r w:rsidR="00ED3C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43BD100D" w14:textId="7A02B56D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F71753" w14:textId="3FFF0D19" w:rsidR="00EE1686" w:rsidRPr="00EE1686" w:rsidRDefault="00EE1686" w:rsidP="00EE1686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E1686">
        <w:rPr>
          <w:rFonts w:ascii="Times New Roman" w:hAnsi="Times New Roman" w:cs="Times New Roman"/>
          <w:b/>
          <w:bCs/>
          <w:sz w:val="24"/>
          <w:szCs w:val="24"/>
        </w:rPr>
        <w:t>2. ŠTK upozorňuje pri organizácií stretnutí na najnovšie vydanie Vyhlášky č.208 UVZ zo 17.5.2021</w:t>
      </w:r>
    </w:p>
    <w:p w14:paraId="6D285F39" w14:textId="77777777" w:rsidR="00EE1686" w:rsidRPr="00875B91" w:rsidRDefault="00EE1686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b/>
          <w:bCs/>
          <w:sz w:val="24"/>
          <w:szCs w:val="24"/>
        </w:rPr>
        <w:t>3. Upravené, zjednodušené Covid opatrenia pre amatérsky futbal platné od 17.05.202</w:t>
      </w:r>
      <w:r w:rsidRPr="00875B91">
        <w:rPr>
          <w:rFonts w:ascii="Times New Roman" w:hAnsi="Times New Roman" w:cs="Times New Roman"/>
          <w:sz w:val="24"/>
          <w:szCs w:val="24"/>
        </w:rPr>
        <w:t>1</w:t>
      </w:r>
    </w:p>
    <w:p w14:paraId="580EBB94" w14:textId="77777777" w:rsidR="00875B91" w:rsidRDefault="00875B91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0D9FF86" w14:textId="5C89EC50" w:rsidR="00EE1686" w:rsidRPr="00875B91" w:rsidRDefault="00EE1686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lastRenderedPageBreak/>
        <w:t>Podľa § 48 ods. 4 písm. d) zákona sa organizátorom hromadných podujatí športového charakteru podľa § 1 ods. 3 písm. k) uskutočňovaných v územných obvodoch okresov</w:t>
      </w:r>
      <w:r w:rsidR="00875B91">
        <w:rPr>
          <w:rFonts w:ascii="Times New Roman" w:hAnsi="Times New Roman" w:cs="Times New Roman"/>
          <w:sz w:val="24"/>
          <w:szCs w:val="24"/>
        </w:rPr>
        <w:t xml:space="preserve"> sú súťaže MFZ Košice zaradené do I. stupňa varovania:</w:t>
      </w:r>
    </w:p>
    <w:p w14:paraId="0E841492" w14:textId="13E0E83F" w:rsidR="00EE1686" w:rsidRPr="00875B91" w:rsidRDefault="00EE1686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5B91">
        <w:rPr>
          <w:rStyle w:val="Vrazn"/>
          <w:rFonts w:ascii="Times New Roman" w:hAnsi="Times New Roman" w:cs="Times New Roman"/>
          <w:sz w:val="24"/>
          <w:szCs w:val="24"/>
        </w:rPr>
        <w:t>I. stupeň varovania podľa /ružové okresy/ COVID AUTOMAT-u nariaďujú nasledovné opatrenia:</w:t>
      </w:r>
    </w:p>
    <w:p w14:paraId="6F7036FB" w14:textId="3B67DABC" w:rsidR="00EE1686" w:rsidRDefault="00EE1686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t>· veľkosť sektora nesmie byť menšia ako 300 m2;</w:t>
      </w:r>
    </w:p>
    <w:p w14:paraId="1A3F3F42" w14:textId="77777777" w:rsidR="00875B91" w:rsidRPr="00875B91" w:rsidRDefault="00875B91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FA35FE" w14:textId="076A7C1B" w:rsidR="00EE1686" w:rsidRDefault="00EE1686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t>· v sektore môže vykonávať športovú činnosť najviac 50 športovcov a jeden tréner</w:t>
      </w:r>
    </w:p>
    <w:p w14:paraId="1B27C2F8" w14:textId="77777777" w:rsidR="00875B91" w:rsidRPr="00875B91" w:rsidRDefault="00875B91" w:rsidP="00875B9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F62006" w14:textId="5F6F6F8C" w:rsidR="00EE1686" w:rsidRDefault="00EE1686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t>· súťaže amatérsky športovcov môžu byť organizované iba so sediacim obecenstvom za účasti najviac 500 divákov v exteriéri, nie viac divákov, ako je 25 % miest na sedenie v každom druhom rade,</w:t>
      </w:r>
    </w:p>
    <w:p w14:paraId="51172453" w14:textId="77777777" w:rsidR="00875B91" w:rsidRPr="00875B91" w:rsidRDefault="00875B91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40375C59" w14:textId="7FD97584" w:rsidR="00EE1686" w:rsidRDefault="00EE1686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t>· súťažného hromadného športového podujatia sa môže zúčastniť najviac 50 športovcov, 208/2021 V. v. SR Vestník vlády Slovenskej republiky Strana 5</w:t>
      </w:r>
    </w:p>
    <w:p w14:paraId="547E4256" w14:textId="77777777" w:rsidR="00875B91" w:rsidRPr="00875B91" w:rsidRDefault="00875B91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DE97D4" w14:textId="0AC3C0FA" w:rsidR="00EE1686" w:rsidRDefault="00EE1686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5B91">
        <w:rPr>
          <w:rFonts w:ascii="Times New Roman" w:hAnsi="Times New Roman" w:cs="Times New Roman"/>
          <w:sz w:val="24"/>
          <w:szCs w:val="24"/>
        </w:rPr>
        <w:t>· organizátor športovej súťaže je povinný umožniť vstup do priestorov hromadného športového podujatia iba osobe, ktorá preukáže negatívnym výsledkom RT - PCR alebo LAMP testu na ochorenie COVID – 19 nie starším ako 72 hodín alebo negatívnym výsledkom antigénového testu na ochorenie COVID – 19 nie starším ako 24 hodín.</w:t>
      </w:r>
    </w:p>
    <w:p w14:paraId="12CEE13C" w14:textId="25A366EE" w:rsidR="00875B91" w:rsidRDefault="00875B91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08B091C7" w14:textId="68410625" w:rsidR="00875B91" w:rsidRPr="00875B91" w:rsidRDefault="00875B91" w:rsidP="00875B9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Detailné podmienky konania amatérskych súťaží sú uvedené vo Vyhláške UVZ č.208. </w:t>
      </w:r>
    </w:p>
    <w:p w14:paraId="7F9071CE" w14:textId="449D962D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DD0235C" w14:textId="77777777" w:rsidR="006D6460" w:rsidRPr="002A64A5" w:rsidRDefault="006D6460" w:rsidP="006D6460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A64A5">
        <w:rPr>
          <w:rFonts w:ascii="Times New Roman" w:hAnsi="Times New Roman" w:cs="Times New Roman"/>
          <w:b/>
          <w:bCs/>
          <w:sz w:val="24"/>
          <w:szCs w:val="24"/>
        </w:rPr>
        <w:t>V zmysle Vyhlášky č.208, § 7 Spoločné ustanovenia:</w:t>
      </w:r>
    </w:p>
    <w:p w14:paraId="34E98B6A" w14:textId="77777777" w:rsidR="006D6460" w:rsidRPr="006F5768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>(1) Ak táto vyhláška uvádza podmienku negatívneho výsledku antigénového testu na ochorenie COVID-19, je ho možné nahradiť potvrdeniami o nasledovných skutočnostiach:</w:t>
      </w:r>
    </w:p>
    <w:p w14:paraId="7E96393F" w14:textId="77777777" w:rsidR="006D6460" w:rsidRPr="006F5768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a) osoba bola zaočkovaná druhou dávkou mRNA vakcíny proti ochoreniu COVID-19 a od tejto udalosti uplynulo viac ako 14 dní, </w:t>
      </w:r>
    </w:p>
    <w:p w14:paraId="641F1AA0" w14:textId="77777777" w:rsidR="006D6460" w:rsidRPr="006F5768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b) osoba bola zaočkovaná prvou dávkou vektorovej vakcíny proti ochoreniu COVID-19 a od tejto udalosti uplynulo viac ako 4 týždne, </w:t>
      </w:r>
    </w:p>
    <w:p w14:paraId="184D45F7" w14:textId="77777777" w:rsidR="006D6460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c) osoba je viac ako 14 dní po 1. dávke očkovania proti ochoreniu COVID-19 (mRNA alebo vektorovou vakcínou), ak bola prvá dávka očkovania podaná v intervale do 180 dní od prekonania ochorenia COVID-19, </w:t>
      </w:r>
    </w:p>
    <w:p w14:paraId="6781E666" w14:textId="77777777" w:rsidR="006D6460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d) osoba prekonala ochorenie COVID-19 v období pred nie viac ako 180 dňami, </w:t>
      </w:r>
    </w:p>
    <w:p w14:paraId="7D70D6CE" w14:textId="77777777" w:rsidR="006D6460" w:rsidRPr="006F5768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e) ide o osobu do 10 rokov veku. </w:t>
      </w:r>
    </w:p>
    <w:p w14:paraId="6CED916C" w14:textId="77777777" w:rsidR="006D6460" w:rsidRPr="006F5768" w:rsidRDefault="006D6460" w:rsidP="006D646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>(2) Prevádzkovateľ zariadenia alebo organizátor hromadného podujatia je oprávnený požadovať od osoby vstupujúcej do vnútorných alebo vonkajších priestorov hromadného podujatia predloženie príslušného dokladu, ktorý preukazuje niektorú zo skutočností podľa odseku 1; do tohto dokladu je prevádzkovateľ zariadenia alebo organizátor hromadného podujatia oprávnený nahliadnuť.</w:t>
      </w:r>
    </w:p>
    <w:p w14:paraId="6C97276B" w14:textId="70F0CE59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7C8E12B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875B91">
        <w:rPr>
          <w:rFonts w:ascii="Times New Roman" w:hAnsi="Times New Roman" w:cs="Times New Roman"/>
          <w:sz w:val="24"/>
          <w:szCs w:val="24"/>
        </w:rPr>
        <w:t>1</w:t>
      </w:r>
      <w:r w:rsidR="008961BD">
        <w:rPr>
          <w:rFonts w:ascii="Times New Roman" w:hAnsi="Times New Roman" w:cs="Times New Roman"/>
          <w:sz w:val="24"/>
          <w:szCs w:val="24"/>
        </w:rPr>
        <w:t>7</w:t>
      </w:r>
      <w:r w:rsidR="00F34EE6">
        <w:rPr>
          <w:rFonts w:ascii="Times New Roman" w:hAnsi="Times New Roman" w:cs="Times New Roman"/>
          <w:sz w:val="24"/>
          <w:szCs w:val="24"/>
        </w:rPr>
        <w:t>.5</w:t>
      </w:r>
      <w:r w:rsidR="00D51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396C99"/>
    <w:rsid w:val="00397573"/>
    <w:rsid w:val="003B0E61"/>
    <w:rsid w:val="00493295"/>
    <w:rsid w:val="00547355"/>
    <w:rsid w:val="005926D0"/>
    <w:rsid w:val="006D6460"/>
    <w:rsid w:val="0076069E"/>
    <w:rsid w:val="00815F7B"/>
    <w:rsid w:val="00840F06"/>
    <w:rsid w:val="00851FF2"/>
    <w:rsid w:val="00875B91"/>
    <w:rsid w:val="008961BD"/>
    <w:rsid w:val="009336AB"/>
    <w:rsid w:val="009775AF"/>
    <w:rsid w:val="00A75389"/>
    <w:rsid w:val="00AC75B1"/>
    <w:rsid w:val="00AE7673"/>
    <w:rsid w:val="00C8390E"/>
    <w:rsid w:val="00CF264C"/>
    <w:rsid w:val="00D51DA6"/>
    <w:rsid w:val="00DE7BA4"/>
    <w:rsid w:val="00E06FEE"/>
    <w:rsid w:val="00ED3C51"/>
    <w:rsid w:val="00EE1686"/>
    <w:rsid w:val="00F34EE6"/>
    <w:rsid w:val="00FE08D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8</cp:revision>
  <dcterms:created xsi:type="dcterms:W3CDTF">2021-05-17T06:17:00Z</dcterms:created>
  <dcterms:modified xsi:type="dcterms:W3CDTF">2021-05-20T08:36:00Z</dcterms:modified>
</cp:coreProperties>
</file>